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Default="0081432E" w:rsidP="00CF0BF0">
      <w:pPr>
        <w:jc w:val="center"/>
        <w:rPr>
          <w:rFonts w:ascii="Arial" w:hAnsi="Arial" w:cs="Arial"/>
          <w:i/>
          <w:sz w:val="40"/>
        </w:rPr>
      </w:pPr>
      <w:r>
        <w:rPr>
          <w:rFonts w:ascii="Arial" w:hAnsi="Arial" w:cs="Arial"/>
          <w:i/>
          <w:sz w:val="40"/>
        </w:rPr>
        <w:t>Platelage</w:t>
      </w:r>
      <w:r w:rsidR="004241B2">
        <w:rPr>
          <w:rFonts w:ascii="Arial" w:hAnsi="Arial" w:cs="Arial"/>
          <w:i/>
          <w:sz w:val="40"/>
        </w:rPr>
        <w:t>s</w:t>
      </w:r>
      <w:r>
        <w:rPr>
          <w:rFonts w:ascii="Arial" w:hAnsi="Arial" w:cs="Arial"/>
          <w:i/>
          <w:sz w:val="40"/>
        </w:rPr>
        <w:t xml:space="preserve"> extérieur</w:t>
      </w:r>
      <w:r w:rsidR="004241B2">
        <w:rPr>
          <w:rFonts w:ascii="Arial" w:hAnsi="Arial" w:cs="Arial"/>
          <w:i/>
          <w:sz w:val="40"/>
        </w:rPr>
        <w:t>s en bois</w:t>
      </w:r>
      <w:r w:rsidR="003D0CC2">
        <w:rPr>
          <w:rFonts w:ascii="Arial" w:hAnsi="Arial" w:cs="Arial"/>
          <w:i/>
          <w:sz w:val="40"/>
        </w:rPr>
        <w:t xml:space="preserve"> – NF DTU 51.4</w:t>
      </w:r>
    </w:p>
    <w:p w14:paraId="17CD10A8" w14:textId="77777777" w:rsidR="006C47D1" w:rsidRPr="00FC198B" w:rsidRDefault="003D0CC2" w:rsidP="00564496">
      <w:pPr>
        <w:jc w:val="center"/>
        <w:rPr>
          <w:rFonts w:ascii="Arial" w:hAnsi="Arial" w:cs="Arial"/>
          <w:i/>
          <w:sz w:val="36"/>
          <w:szCs w:val="36"/>
        </w:rPr>
      </w:pPr>
      <w:r w:rsidRPr="00FC198B">
        <w:rPr>
          <w:rFonts w:ascii="Arial" w:hAnsi="Arial" w:cs="Arial"/>
          <w:i/>
          <w:sz w:val="36"/>
          <w:szCs w:val="36"/>
        </w:rPr>
        <w:t>Lame</w:t>
      </w:r>
      <w:r w:rsidR="00CD5C2E" w:rsidRPr="00FC198B">
        <w:rPr>
          <w:rFonts w:ascii="Arial" w:hAnsi="Arial" w:cs="Arial"/>
          <w:i/>
          <w:sz w:val="36"/>
          <w:szCs w:val="36"/>
        </w:rPr>
        <w:t>s</w:t>
      </w:r>
      <w:r w:rsidRPr="00FC198B">
        <w:rPr>
          <w:rFonts w:ascii="Arial" w:hAnsi="Arial" w:cs="Arial"/>
          <w:i/>
          <w:sz w:val="36"/>
          <w:szCs w:val="36"/>
        </w:rPr>
        <w:t xml:space="preserve"> </w:t>
      </w:r>
      <w:r w:rsidR="006C47D1" w:rsidRPr="00FC198B">
        <w:rPr>
          <w:rFonts w:ascii="Arial" w:hAnsi="Arial" w:cs="Arial"/>
          <w:i/>
          <w:sz w:val="36"/>
          <w:szCs w:val="36"/>
        </w:rPr>
        <w:t>sur porteurs linéaires</w:t>
      </w:r>
      <w:r w:rsidR="00184FF2" w:rsidRPr="00FC198B">
        <w:rPr>
          <w:rFonts w:ascii="Arial" w:hAnsi="Arial" w:cs="Arial"/>
          <w:i/>
          <w:sz w:val="36"/>
          <w:szCs w:val="36"/>
        </w:rPr>
        <w:t xml:space="preserve"> – Conception </w:t>
      </w:r>
      <w:r w:rsidR="006C47D1" w:rsidRPr="00FC198B">
        <w:rPr>
          <w:rFonts w:ascii="Arial" w:hAnsi="Arial" w:cs="Arial"/>
          <w:i/>
          <w:sz w:val="36"/>
          <w:szCs w:val="36"/>
        </w:rPr>
        <w:t>courante</w:t>
      </w:r>
      <w:r w:rsidR="00450281" w:rsidRPr="00FC198B">
        <w:rPr>
          <w:rFonts w:ascii="Arial" w:hAnsi="Arial" w:cs="Arial"/>
          <w:i/>
          <w:sz w:val="36"/>
          <w:szCs w:val="36"/>
        </w:rPr>
        <w:t xml:space="preserve"> </w:t>
      </w:r>
    </w:p>
    <w:p w14:paraId="0E8CEAC5" w14:textId="0525D79B" w:rsidR="005B3EB3" w:rsidRPr="00341872" w:rsidRDefault="00450281" w:rsidP="00564496">
      <w:pPr>
        <w:jc w:val="center"/>
        <w:rPr>
          <w:rFonts w:ascii="Arial" w:hAnsi="Arial" w:cs="Arial"/>
          <w:i/>
          <w:sz w:val="36"/>
          <w:szCs w:val="36"/>
        </w:rPr>
      </w:pPr>
      <w:r w:rsidRPr="00FC198B">
        <w:rPr>
          <w:rFonts w:ascii="Arial" w:hAnsi="Arial" w:cs="Arial"/>
          <w:i/>
          <w:sz w:val="36"/>
          <w:szCs w:val="36"/>
        </w:rPr>
        <w:t>(L</w:t>
      </w:r>
      <w:r w:rsidR="006C47D1" w:rsidRPr="00FC198B">
        <w:rPr>
          <w:rFonts w:ascii="Arial" w:hAnsi="Arial" w:cs="Arial"/>
          <w:i/>
          <w:sz w:val="36"/>
          <w:szCs w:val="36"/>
        </w:rPr>
        <w:t>-CC</w:t>
      </w:r>
      <w:r w:rsidRPr="00FC198B">
        <w:rPr>
          <w:rFonts w:ascii="Arial" w:hAnsi="Arial" w:cs="Arial"/>
          <w:i/>
          <w:sz w:val="36"/>
          <w:szCs w:val="36"/>
        </w:rPr>
        <w:t>)</w:t>
      </w:r>
    </w:p>
    <w:p w14:paraId="4F174622" w14:textId="263628C3" w:rsidR="00564496" w:rsidRDefault="00564496" w:rsidP="00564496">
      <w:pPr>
        <w:rPr>
          <w:rFonts w:ascii="Arial" w:hAnsi="Arial" w:cs="Arial"/>
        </w:rPr>
      </w:pPr>
    </w:p>
    <w:p w14:paraId="4AEA5387" w14:textId="498DD6A5" w:rsidR="00564496" w:rsidRDefault="00564496" w:rsidP="00564496">
      <w:pPr>
        <w:rPr>
          <w:rFonts w:ascii="Arial" w:hAnsi="Arial" w:cs="Arial"/>
        </w:rPr>
      </w:pPr>
    </w:p>
    <w:p w14:paraId="1A933F55" w14:textId="122FE178" w:rsidR="00564496" w:rsidRDefault="00564496" w:rsidP="006437E3">
      <w:pPr>
        <w:jc w:val="center"/>
        <w:rPr>
          <w:rFonts w:ascii="Arial" w:hAnsi="Arial" w:cs="Arial"/>
        </w:rPr>
      </w:pPr>
    </w:p>
    <w:p w14:paraId="1DF158D4" w14:textId="7C3CF96D" w:rsidR="00564496" w:rsidRDefault="00564496" w:rsidP="00564496">
      <w:pPr>
        <w:rPr>
          <w:rFonts w:ascii="Arial" w:hAnsi="Arial" w:cs="Arial"/>
        </w:rPr>
      </w:pPr>
    </w:p>
    <w:p w14:paraId="4EE9724A" w14:textId="4A39CC60" w:rsidR="00564496" w:rsidRDefault="006C47D1" w:rsidP="00564496">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14:anchorId="0A92A4BF" wp14:editId="2662496E">
            <wp:simplePos x="0" y="0"/>
            <wp:positionH relativeFrom="margin">
              <wp:align>center</wp:align>
            </wp:positionH>
            <wp:positionV relativeFrom="paragraph">
              <wp:posOffset>9144</wp:posOffset>
            </wp:positionV>
            <wp:extent cx="3830955" cy="2232660"/>
            <wp:effectExtent l="0" t="0" r="0" b="0"/>
            <wp:wrapTight wrapText="bothSides">
              <wp:wrapPolygon edited="0">
                <wp:start x="0" y="0"/>
                <wp:lineTo x="0" y="21379"/>
                <wp:lineTo x="21482" y="21379"/>
                <wp:lineTo x="2148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L-C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955" cy="2232660"/>
                    </a:xfrm>
                    <a:prstGeom prst="rect">
                      <a:avLst/>
                    </a:prstGeom>
                  </pic:spPr>
                </pic:pic>
              </a:graphicData>
            </a:graphic>
            <wp14:sizeRelH relativeFrom="page">
              <wp14:pctWidth>0</wp14:pctWidth>
            </wp14:sizeRelH>
            <wp14:sizeRelV relativeFrom="page">
              <wp14:pctHeight>0</wp14:pctHeight>
            </wp14:sizeRelV>
          </wp:anchor>
        </w:drawing>
      </w:r>
    </w:p>
    <w:p w14:paraId="6CD26057" w14:textId="44ECBE73"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02CC83D1" w:rsidR="00564496" w:rsidRPr="00D22817" w:rsidRDefault="006C47D1"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486EEBDC"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661FAF">
          <w:rPr>
            <w:rFonts w:ascii="Arial" w:hAnsi="Arial" w:cs="Arial"/>
            <w:webHidden/>
          </w:rPr>
          <w:t>3</w:t>
        </w:r>
        <w:r w:rsidR="003E7313" w:rsidRPr="003E7313">
          <w:rPr>
            <w:rFonts w:ascii="Arial" w:hAnsi="Arial" w:cs="Arial"/>
            <w:webHidden/>
          </w:rPr>
          <w:fldChar w:fldCharType="end"/>
        </w:r>
      </w:hyperlink>
    </w:p>
    <w:p w14:paraId="51DDE25D" w14:textId="601CB27E" w:rsidR="003E7313" w:rsidRPr="0018233A" w:rsidRDefault="008D06C8">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661FAF">
          <w:rPr>
            <w:rFonts w:ascii="Arial" w:hAnsi="Arial" w:cs="Arial"/>
            <w:webHidden/>
          </w:rPr>
          <w:t>4</w:t>
        </w:r>
        <w:r w:rsidR="003E7313" w:rsidRPr="003E7313">
          <w:rPr>
            <w:rFonts w:ascii="Arial" w:hAnsi="Arial" w:cs="Arial"/>
            <w:webHidden/>
          </w:rPr>
          <w:fldChar w:fldCharType="end"/>
        </w:r>
      </w:hyperlink>
    </w:p>
    <w:p w14:paraId="4841DD08" w14:textId="2141F3FC" w:rsidR="003E7313" w:rsidRPr="0018233A" w:rsidRDefault="008D06C8">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661FAF">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15C11347" w:rsidR="001579C2" w:rsidRPr="00DA51DA" w:rsidRDefault="001579C2" w:rsidP="001579C2">
      <w:pPr>
        <w:pStyle w:val="Paragraphedeliste"/>
        <w:numPr>
          <w:ilvl w:val="0"/>
          <w:numId w:val="35"/>
        </w:numPr>
        <w:jc w:val="both"/>
        <w:rPr>
          <w:rFonts w:ascii="ArialMT" w:eastAsia="Times New Roman" w:hAnsi="ArialMT" w:cs="ArialMT"/>
          <w:sz w:val="20"/>
          <w:szCs w:val="20"/>
          <w:lang w:eastAsia="fr-FR"/>
        </w:rPr>
      </w:pPr>
      <w:r w:rsidRPr="00DA51DA">
        <w:rPr>
          <w:rFonts w:ascii="ArialMT" w:eastAsia="Times New Roman" w:hAnsi="ArialMT" w:cs="ArialMT"/>
          <w:sz w:val="20"/>
          <w:szCs w:val="20"/>
          <w:lang w:eastAsia="fr-FR"/>
        </w:rPr>
        <w:t>Lames de platelage</w:t>
      </w:r>
      <w:r w:rsidR="006B1A49">
        <w:rPr>
          <w:rFonts w:ascii="ArialMT" w:eastAsia="Times New Roman" w:hAnsi="ArialMT" w:cs="ArialMT"/>
          <w:sz w:val="20"/>
          <w:szCs w:val="20"/>
          <w:lang w:eastAsia="fr-FR"/>
        </w:rPr>
        <w:t>s extérieur</w:t>
      </w:r>
      <w:r w:rsidR="004400D6" w:rsidRPr="00DA51DA">
        <w:rPr>
          <w:rFonts w:ascii="ArialMT" w:eastAsia="Times New Roman" w:hAnsi="ArialMT" w:cs="ArialMT"/>
          <w:sz w:val="20"/>
          <w:szCs w:val="20"/>
          <w:lang w:eastAsia="fr-FR"/>
        </w:rPr>
        <w:t>s</w:t>
      </w:r>
      <w:r w:rsidRPr="00DA51DA">
        <w:rPr>
          <w:rFonts w:ascii="ArialMT" w:eastAsia="Times New Roman" w:hAnsi="ArialMT" w:cs="ArialMT"/>
          <w:sz w:val="20"/>
          <w:szCs w:val="20"/>
          <w:lang w:eastAsia="fr-FR"/>
        </w:rPr>
        <w:t xml:space="preserve"> telles que définies dans la NF B 54-040</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bookmarkStart w:id="2" w:name="_GoBack"/>
      <w:bookmarkEnd w:id="2"/>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3" w:name="_Toc89246813"/>
      <w:bookmarkEnd w:id="1"/>
      <w:r>
        <w:lastRenderedPageBreak/>
        <w:t>Extrait du cahier des clauses administratives spéciales types (CCS)</w:t>
      </w:r>
      <w:r w:rsidR="0006099F">
        <w:t xml:space="preserve"> du NF DTU 51.4</w:t>
      </w:r>
      <w:bookmarkEnd w:id="3"/>
    </w:p>
    <w:p w14:paraId="58EA9901" w14:textId="77777777" w:rsidR="00DF7067" w:rsidRPr="00BF1FBB" w:rsidRDefault="00DF7067" w:rsidP="00BF1FBB">
      <w:pPr>
        <w:pStyle w:val="Style7"/>
        <w:rPr>
          <w:rStyle w:val="lev"/>
        </w:rPr>
      </w:pPr>
      <w:bookmarkStart w:id="4" w:name="_Toc86324701"/>
      <w:bookmarkStart w:id="5" w:name="_Toc89246814"/>
      <w:r w:rsidRPr="00BF1FBB">
        <w:rPr>
          <w:rStyle w:val="lev"/>
        </w:rPr>
        <w:t>Dispositions de coordination avec les autres entreprises et intervenants</w:t>
      </w:r>
      <w:bookmarkEnd w:id="4"/>
      <w:bookmarkEnd w:id="5"/>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6" w:name="_Toc86324702"/>
      <w:bookmarkStart w:id="7" w:name="_Toc89246815"/>
      <w:r>
        <w:rPr>
          <w:rStyle w:val="lev"/>
        </w:rPr>
        <w:lastRenderedPageBreak/>
        <w:t>Consistance des travaux objets du marché</w:t>
      </w:r>
      <w:bookmarkEnd w:id="6"/>
      <w:bookmarkEnd w:id="7"/>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8" w:name="_Toc86324703"/>
      <w:bookmarkStart w:id="9" w:name="_Toc89246816"/>
      <w:r w:rsidRPr="00BF1FBB">
        <w:rPr>
          <w:rStyle w:val="lev"/>
        </w:rPr>
        <w:t>Eléments à prendre en compte lors de la rédaction de CCTP Platelage extérieur</w:t>
      </w:r>
      <w:bookmarkEnd w:id="8"/>
      <w:bookmarkEnd w:id="9"/>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10" w:name="_Toc89246817"/>
      <w:r w:rsidR="006F53F9">
        <w:lastRenderedPageBreak/>
        <w:t>Aide à la définition des ouvrages</w:t>
      </w:r>
      <w:bookmarkEnd w:id="10"/>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0750DF97" w14:textId="77777777" w:rsidR="006C47D1" w:rsidRPr="00D13EBA" w:rsidRDefault="006C47D1" w:rsidP="006C47D1">
      <w:pPr>
        <w:autoSpaceDE w:val="0"/>
        <w:autoSpaceDN w:val="0"/>
        <w:adjustRightInd w:val="0"/>
        <w:jc w:val="both"/>
        <w:rPr>
          <w:rFonts w:ascii="Arial" w:hAnsi="Arial" w:cs="Arial"/>
          <w:color w:val="FF0000"/>
          <w:sz w:val="20"/>
          <w:szCs w:val="20"/>
        </w:rPr>
      </w:pPr>
      <w:r w:rsidRPr="00FC198B">
        <w:rPr>
          <w:rFonts w:ascii="Arial" w:hAnsi="Arial" w:cs="Arial"/>
          <w:sz w:val="20"/>
          <w:szCs w:val="20"/>
        </w:rPr>
        <w:t xml:space="preserve">Dans le présent exemple, correspondant au type de platelage concerné, la </w:t>
      </w:r>
      <w:r w:rsidRPr="00FC198B">
        <w:rPr>
          <w:rFonts w:ascii="Arial" w:hAnsi="Arial" w:cs="Arial"/>
          <w:b/>
          <w:sz w:val="20"/>
          <w:szCs w:val="20"/>
        </w:rPr>
        <w:t>conception</w:t>
      </w:r>
      <w:r w:rsidRPr="00FC198B">
        <w:rPr>
          <w:rFonts w:ascii="Arial" w:hAnsi="Arial" w:cs="Arial"/>
          <w:sz w:val="20"/>
          <w:szCs w:val="20"/>
        </w:rPr>
        <w:t xml:space="preserve"> </w:t>
      </w:r>
      <w:r w:rsidRPr="00FC198B">
        <w:rPr>
          <w:rFonts w:ascii="Arial" w:hAnsi="Arial" w:cs="Arial"/>
          <w:b/>
          <w:sz w:val="20"/>
          <w:szCs w:val="20"/>
        </w:rPr>
        <w:t xml:space="preserve">courante </w:t>
      </w:r>
      <w:r w:rsidRPr="00FC198B">
        <w:rPr>
          <w:rFonts w:ascii="Arial" w:hAnsi="Arial" w:cs="Arial"/>
          <w:sz w:val="20"/>
          <w:szCs w:val="20"/>
        </w:rPr>
        <w:t xml:space="preserve">(au sens du NF DTU 51.4) est retenue. Cette conception comporte des points singuliers susceptibles de piéger l’humidité. Elle est dite </w:t>
      </w:r>
      <w:proofErr w:type="spellStart"/>
      <w:r w:rsidRPr="00FC198B">
        <w:rPr>
          <w:rFonts w:ascii="Arial" w:hAnsi="Arial" w:cs="Arial"/>
          <w:sz w:val="20"/>
          <w:szCs w:val="20"/>
        </w:rPr>
        <w:t>piégeante</w:t>
      </w:r>
      <w:proofErr w:type="spellEnd"/>
      <w:r w:rsidRPr="00FC198B">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1" w:name="_Toc86324705"/>
      <w:bookmarkStart w:id="12" w:name="_Toc89246818"/>
      <w:r w:rsidRPr="00EB159B">
        <w:t xml:space="preserve">Hypothèses </w:t>
      </w:r>
      <w:bookmarkEnd w:id="11"/>
      <w:r w:rsidR="001E446E" w:rsidRPr="00EB159B">
        <w:t xml:space="preserve">de sollicitations </w:t>
      </w:r>
      <w:r w:rsidR="00F45279" w:rsidRPr="00EB159B">
        <w:t>et de justifications de la solidité</w:t>
      </w:r>
      <w:bookmarkEnd w:id="12"/>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13D870D7">
                <wp:simplePos x="0" y="0"/>
                <wp:positionH relativeFrom="column">
                  <wp:posOffset>-76835</wp:posOffset>
                </wp:positionH>
                <wp:positionV relativeFrom="paragraph">
                  <wp:posOffset>104903</wp:posOffset>
                </wp:positionV>
                <wp:extent cx="5920740" cy="1792224"/>
                <wp:effectExtent l="0" t="0" r="22860" b="1778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79222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C803F" id="Rectangle 43" o:spid="_x0000_s1026" style="position:absolute;margin-left:-6.05pt;margin-top:8.25pt;width:466.2pt;height:1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3"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3"/>
    </w:p>
    <w:p w14:paraId="37D671DC" w14:textId="77777777" w:rsidR="00157B79" w:rsidRPr="00157B79" w:rsidRDefault="00157B79" w:rsidP="00157B79">
      <w:pPr>
        <w:spacing w:before="60"/>
        <w:rPr>
          <w:rFonts w:ascii="Arial" w:hAnsi="Arial" w:cs="Arial"/>
          <w:sz w:val="16"/>
          <w:szCs w:val="16"/>
        </w:rPr>
      </w:pPr>
      <w:bookmarkStart w:id="14"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4"/>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78B7B811" w14:textId="388181D8" w:rsidR="004141A1" w:rsidRPr="00FC213A" w:rsidRDefault="00D0194F" w:rsidP="00FC213A">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1A43587B" w14:textId="36782773" w:rsidR="008A3674" w:rsidRPr="008A3674" w:rsidRDefault="00D0194F" w:rsidP="00FC213A">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5" w:name="_Toc86324706"/>
      <w:bookmarkStart w:id="16" w:name="_Toc89246819"/>
      <w:r w:rsidR="00B402F9">
        <w:lastRenderedPageBreak/>
        <w:t>Aide à la description des ouvrages</w:t>
      </w:r>
      <w:bookmarkEnd w:id="15"/>
      <w:bookmarkEnd w:id="16"/>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47438607" w14:textId="402A9631"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0263A8D2"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6E0B38">
        <w:rPr>
          <w:rFonts w:ascii="Arial" w:hAnsi="Arial" w:cs="Arial"/>
          <w:sz w:val="20"/>
          <w:szCs w:val="20"/>
        </w:rPr>
        <w:t>s</w:t>
      </w:r>
      <w:r>
        <w:rPr>
          <w:rFonts w:ascii="Arial" w:hAnsi="Arial" w:cs="Arial"/>
          <w:sz w:val="20"/>
          <w:szCs w:val="20"/>
        </w:rPr>
        <w:t xml:space="preserve"> (Classe DM1 ou DM2). </w:t>
      </w:r>
      <w:r w:rsidR="0011514E" w:rsidRPr="00FC198B">
        <w:rPr>
          <w:rFonts w:ascii="Arial" w:hAnsi="Arial" w:cs="Arial"/>
          <w:i/>
          <w:sz w:val="20"/>
          <w:szCs w:val="20"/>
        </w:rPr>
        <w:t>NOTA : Dans le cas de lames sur porteurs linéaires, les classes de tolérances dimensionnelles et de déformations minimales requises sont TD2 et DM2.</w:t>
      </w:r>
    </w:p>
    <w:p w14:paraId="6F1A52FF" w14:textId="77777777" w:rsidR="00781169" w:rsidRPr="00D37091" w:rsidRDefault="00781169" w:rsidP="00D37091">
      <w:pPr>
        <w:numPr>
          <w:ilvl w:val="3"/>
          <w:numId w:val="12"/>
        </w:numPr>
        <w:jc w:val="both"/>
        <w:rPr>
          <w:rFonts w:ascii="Arial" w:hAnsi="Arial" w:cs="Arial"/>
          <w:bCs/>
          <w:sz w:val="20"/>
          <w:szCs w:val="20"/>
        </w:rPr>
      </w:pPr>
      <w:r w:rsidRPr="00D37091">
        <w:rPr>
          <w:rFonts w:ascii="Arial" w:hAnsi="Arial" w:cs="Arial"/>
          <w:bCs/>
          <w:sz w:val="20"/>
          <w:szCs w:val="20"/>
        </w:rPr>
        <w:t>Eventuel calepinage im</w:t>
      </w:r>
      <w:r w:rsidR="005761E2" w:rsidRPr="00D37091">
        <w:rPr>
          <w:rFonts w:ascii="Arial" w:hAnsi="Arial" w:cs="Arial"/>
          <w:bCs/>
          <w:sz w:val="20"/>
          <w:szCs w:val="20"/>
        </w:rPr>
        <w:t xml:space="preserve">posé </w:t>
      </w:r>
      <w:r w:rsidR="00154823" w:rsidRPr="00D37091">
        <w:rPr>
          <w:rFonts w:ascii="Arial" w:hAnsi="Arial" w:cs="Arial"/>
          <w:bCs/>
          <w:sz w:val="20"/>
          <w:szCs w:val="20"/>
        </w:rPr>
        <w:t xml:space="preserve">pour des raisons esthétiques </w:t>
      </w:r>
    </w:p>
    <w:p w14:paraId="5FEEF479" w14:textId="77777777" w:rsidR="00154823" w:rsidRPr="00D37091" w:rsidRDefault="00154823" w:rsidP="00D37091">
      <w:pPr>
        <w:numPr>
          <w:ilvl w:val="3"/>
          <w:numId w:val="12"/>
        </w:numPr>
        <w:jc w:val="both"/>
        <w:rPr>
          <w:rFonts w:ascii="Arial" w:hAnsi="Arial" w:cs="Arial"/>
          <w:bCs/>
          <w:sz w:val="20"/>
          <w:szCs w:val="20"/>
        </w:rPr>
      </w:pPr>
      <w:r w:rsidRPr="00D37091">
        <w:rPr>
          <w:rFonts w:ascii="Arial" w:hAnsi="Arial" w:cs="Arial"/>
          <w:bCs/>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13CCBFCD" w14:textId="4D851353" w:rsidR="00154823" w:rsidRDefault="00154823" w:rsidP="0011514E">
      <w:pPr>
        <w:autoSpaceDE w:val="0"/>
        <w:autoSpaceDN w:val="0"/>
        <w:adjustRightInd w:val="0"/>
        <w:ind w:left="324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52D6FDCE" w14:textId="77777777" w:rsidR="0011514E" w:rsidRPr="00FC198B" w:rsidRDefault="0011514E" w:rsidP="0011514E">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Elles ont un élancement maximal de 7.</w:t>
      </w:r>
    </w:p>
    <w:p w14:paraId="1F7B3CF6" w14:textId="5A6CEDE3" w:rsidR="00E22A34" w:rsidRPr="00FC198B" w:rsidRDefault="00E22A34" w:rsidP="00E22A34">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xml:space="preserve">- </w:t>
      </w:r>
      <w:r w:rsidR="00F05755" w:rsidRPr="00FC198B">
        <w:rPr>
          <w:rFonts w:ascii="Arial" w:hAnsi="Arial" w:cs="Arial"/>
          <w:bCs/>
          <w:i/>
          <w:color w:val="808080"/>
          <w:sz w:val="20"/>
          <w:szCs w:val="20"/>
        </w:rPr>
        <w:t>L’humidité des lames</w:t>
      </w:r>
      <w:r w:rsidR="006301A9" w:rsidRPr="00FC198B">
        <w:rPr>
          <w:rFonts w:ascii="Arial" w:hAnsi="Arial" w:cs="Arial"/>
          <w:bCs/>
          <w:i/>
          <w:color w:val="808080"/>
          <w:sz w:val="20"/>
          <w:szCs w:val="20"/>
        </w:rPr>
        <w:t xml:space="preserve"> lors de la mise en œuv</w:t>
      </w:r>
      <w:r w:rsidR="00086BE6" w:rsidRPr="00FC198B">
        <w:rPr>
          <w:rFonts w:ascii="Arial" w:hAnsi="Arial" w:cs="Arial"/>
          <w:bCs/>
          <w:i/>
          <w:color w:val="808080"/>
          <w:sz w:val="20"/>
          <w:szCs w:val="20"/>
        </w:rPr>
        <w:t>re sera comprise entre 18% et 22</w:t>
      </w:r>
      <w:r w:rsidR="006301A9" w:rsidRPr="00FC198B">
        <w:rPr>
          <w:rFonts w:ascii="Arial" w:hAnsi="Arial" w:cs="Arial"/>
          <w:bCs/>
          <w:i/>
          <w:color w:val="808080"/>
          <w:sz w:val="20"/>
          <w:szCs w:val="20"/>
        </w:rPr>
        <w:t>%.</w:t>
      </w:r>
    </w:p>
    <w:p w14:paraId="10C73D14" w14:textId="77777777" w:rsidR="0011514E" w:rsidRPr="00FC198B" w:rsidRDefault="0011514E" w:rsidP="0011514E">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Elles sont en bois classé D30.</w:t>
      </w:r>
    </w:p>
    <w:p w14:paraId="467EEA5A" w14:textId="165BC889" w:rsidR="0011514E" w:rsidRPr="00FC198B" w:rsidRDefault="0011514E" w:rsidP="0011514E">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Elles sont compatibles avec la classe d’emploi 4 (bois tropical sans traitement de préservation)</w:t>
      </w:r>
      <w:r w:rsidR="00FC198B">
        <w:rPr>
          <w:rFonts w:ascii="Arial" w:hAnsi="Arial" w:cs="Arial"/>
          <w:bCs/>
          <w:i/>
          <w:color w:val="808080"/>
          <w:sz w:val="20"/>
          <w:szCs w:val="20"/>
        </w:rPr>
        <w:t>.</w:t>
      </w:r>
      <w:r w:rsidRPr="00FC198B">
        <w:rPr>
          <w:rFonts w:ascii="Arial" w:hAnsi="Arial" w:cs="Arial"/>
          <w:bCs/>
          <w:i/>
          <w:color w:val="808080"/>
          <w:sz w:val="20"/>
          <w:szCs w:val="20"/>
        </w:rPr>
        <w:t xml:space="preserve"> </w:t>
      </w:r>
    </w:p>
    <w:p w14:paraId="37245EBC" w14:textId="77777777" w:rsidR="00461D23" w:rsidRPr="00FC198B" w:rsidRDefault="00461D23" w:rsidP="00461D23">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FC198B" w:rsidRDefault="001058D7" w:rsidP="00461D23">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La classe de déform</w:t>
      </w:r>
      <w:r w:rsidR="00424B54" w:rsidRPr="00FC198B">
        <w:rPr>
          <w:rFonts w:ascii="Arial" w:hAnsi="Arial" w:cs="Arial"/>
          <w:bCs/>
          <w:i/>
          <w:color w:val="808080"/>
          <w:sz w:val="20"/>
          <w:szCs w:val="20"/>
        </w:rPr>
        <w:t>ations des lames retenue est DM2</w:t>
      </w:r>
      <w:r w:rsidRPr="00FC198B">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FC198B">
        <w:rPr>
          <w:rFonts w:ascii="Arial" w:hAnsi="Arial" w:cs="Arial"/>
          <w:bCs/>
          <w:i/>
          <w:color w:val="808080"/>
          <w:sz w:val="20"/>
          <w:szCs w:val="20"/>
        </w:rPr>
        <w:t>- La classe de tolérances dimension</w:t>
      </w:r>
      <w:r w:rsidR="00424B54" w:rsidRPr="00FC198B">
        <w:rPr>
          <w:rFonts w:ascii="Arial" w:hAnsi="Arial" w:cs="Arial"/>
          <w:bCs/>
          <w:i/>
          <w:color w:val="808080"/>
          <w:sz w:val="20"/>
          <w:szCs w:val="20"/>
        </w:rPr>
        <w:t>nelles des lames retenue est TD2</w:t>
      </w:r>
      <w:r w:rsidRPr="00FC198B">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sectPr w:rsidR="000A3108" w:rsidRPr="00697EE8"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95DDD" w14:textId="77777777" w:rsidR="008D06C8" w:rsidRDefault="008D06C8">
      <w:r>
        <w:separator/>
      </w:r>
    </w:p>
  </w:endnote>
  <w:endnote w:type="continuationSeparator" w:id="0">
    <w:p w14:paraId="76F975E6" w14:textId="77777777" w:rsidR="008D06C8" w:rsidRDefault="008D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7DB2632A"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6C47D1">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471F1F96"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FC198B">
      <w:rPr>
        <w:rFonts w:ascii="Arial" w:hAnsi="Arial" w:cs="Arial"/>
        <w:noProof/>
        <w:color w:val="808080"/>
        <w:sz w:val="18"/>
        <w:szCs w:val="18"/>
      </w:rPr>
      <w:t>11</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FC198B">
      <w:rPr>
        <w:rFonts w:ascii="Arial" w:hAnsi="Arial" w:cs="Arial"/>
        <w:noProof/>
        <w:color w:val="808080"/>
        <w:sz w:val="18"/>
        <w:szCs w:val="18"/>
      </w:rPr>
      <w:t>11</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1C44" w14:textId="77777777" w:rsidR="008D06C8" w:rsidRDefault="008D06C8">
      <w:r>
        <w:separator/>
      </w:r>
    </w:p>
  </w:footnote>
  <w:footnote w:type="continuationSeparator" w:id="0">
    <w:p w14:paraId="4ED173DF" w14:textId="77777777" w:rsidR="008D06C8" w:rsidRDefault="008D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2EA45FE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C47D1">
                            <w:rPr>
                              <w:rFonts w:ascii="HelveticaNeueLT Pro 25 UltLt" w:hAnsi="HelveticaNeueLT Pro 25 UltLt"/>
                              <w:color w:val="FFFFFF"/>
                            </w:rPr>
                            <w:t>bois – L</w:t>
                          </w:r>
                          <w:r w:rsidR="006C47D1">
                            <w:rPr>
                              <w:rFonts w:ascii="HelveticaNeueLT Pro 25 UltLt" w:hAnsi="HelveticaNeueLT Pro 25 UltLt"/>
                              <w:color w:val="FFFFFF"/>
                            </w:rP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2EA45FE7"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C47D1">
                      <w:rPr>
                        <w:rFonts w:ascii="HelveticaNeueLT Pro 25 UltLt" w:hAnsi="HelveticaNeueLT Pro 25 UltLt"/>
                        <w:color w:val="FFFFFF"/>
                      </w:rPr>
                      <w:t>bois – L</w:t>
                    </w:r>
                    <w:r w:rsidR="006C47D1">
                      <w:rPr>
                        <w:rFonts w:ascii="HelveticaNeueLT Pro 25 UltLt" w:hAnsi="HelveticaNeueLT Pro 25 UltLt"/>
                        <w:color w:val="FFFFFF"/>
                      </w:rPr>
                      <w:t>-CC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0952B09B"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C47D1">
                            <w:rPr>
                              <w:rFonts w:ascii="HelveticaNeueLT Pro 25 UltLt" w:hAnsi="HelveticaNeueLT Pro 25 UltLt"/>
                              <w:color w:val="FFFFFF"/>
                            </w:rPr>
                            <w:t xml:space="preserve">bois – </w:t>
                          </w:r>
                          <w:r w:rsidR="006C47D1">
                            <w:rPr>
                              <w:rFonts w:ascii="HelveticaNeueLT Pro 25 UltLt" w:hAnsi="HelveticaNeueLT Pro 25 UltLt"/>
                              <w:color w:val="FFFFFF"/>
                            </w:rPr>
                            <w:t>L-CC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0952B09B"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w:t>
                    </w:r>
                    <w:r w:rsidRPr="006C47D1">
                      <w:rPr>
                        <w:rFonts w:ascii="HelveticaNeueLT Pro 25 UltLt" w:hAnsi="HelveticaNeueLT Pro 25 UltLt"/>
                        <w:color w:val="FFFFFF"/>
                      </w:rPr>
                      <w:t xml:space="preserve">bois – </w:t>
                    </w:r>
                    <w:r w:rsidR="006C47D1">
                      <w:rPr>
                        <w:rFonts w:ascii="HelveticaNeueLT Pro 25 UltLt" w:hAnsi="HelveticaNeueLT Pro 25 UltLt"/>
                        <w:color w:val="FFFFFF"/>
                      </w:rPr>
                      <w:t>L-CC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mso8"/>
      </v:shape>
    </w:pict>
  </w:numPicBullet>
  <w:numPicBullet w:numPicBulletId="1">
    <w:pict>
      <v:shape id="_x0000_i1035" type="#_x0000_t75" style="width:12pt;height:12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514E"/>
    <w:rsid w:val="00117880"/>
    <w:rsid w:val="0012170C"/>
    <w:rsid w:val="0012184B"/>
    <w:rsid w:val="00121FE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436"/>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66A8"/>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1FAF"/>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1A49"/>
    <w:rsid w:val="006B2482"/>
    <w:rsid w:val="006B3CF5"/>
    <w:rsid w:val="006B63E4"/>
    <w:rsid w:val="006B73A5"/>
    <w:rsid w:val="006C0D58"/>
    <w:rsid w:val="006C1795"/>
    <w:rsid w:val="006C21B7"/>
    <w:rsid w:val="006C2207"/>
    <w:rsid w:val="006C260C"/>
    <w:rsid w:val="006C3CA1"/>
    <w:rsid w:val="006C41DB"/>
    <w:rsid w:val="006C4204"/>
    <w:rsid w:val="006C47D1"/>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B38"/>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6C8"/>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36B47"/>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091"/>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A6CE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26C"/>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98B"/>
    <w:rsid w:val="00FC1CF9"/>
    <w:rsid w:val="00FC213A"/>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B2F3-8AC2-42E4-B2BE-BC1FA226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3126</Words>
  <Characters>17197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20283</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15</cp:revision>
  <cp:lastPrinted>2021-10-28T13:27:00Z</cp:lastPrinted>
  <dcterms:created xsi:type="dcterms:W3CDTF">2021-12-21T08:09:00Z</dcterms:created>
  <dcterms:modified xsi:type="dcterms:W3CDTF">2022-02-22T09:06:00Z</dcterms:modified>
</cp:coreProperties>
</file>